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78477F"/>
    <w:p w:rsidR="0078477F" w:rsidRDefault="0078477F" w:rsidP="0078477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78477F" w:rsidRPr="004F5A4D" w:rsidRDefault="0078477F" w:rsidP="0078477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78477F" w:rsidRPr="004F5A4D" w:rsidRDefault="0078477F" w:rsidP="0078477F">
      <w:pPr>
        <w:jc w:val="center"/>
        <w:rPr>
          <w:rFonts w:ascii="Times New Roman" w:hAnsi="Times New Roman"/>
          <w:b/>
          <w:sz w:val="32"/>
          <w:szCs w:val="32"/>
        </w:rPr>
      </w:pPr>
    </w:p>
    <w:p w:rsidR="0078477F" w:rsidRPr="004F5A4D" w:rsidRDefault="0078477F" w:rsidP="0078477F">
      <w:pPr>
        <w:pStyle w:val="a3"/>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78477F" w:rsidRPr="004F5A4D" w:rsidRDefault="0061636F" w:rsidP="0078477F">
      <w:pPr>
        <w:pStyle w:val="a3"/>
        <w:jc w:val="center"/>
        <w:rPr>
          <w:rFonts w:ascii="Times New Roman" w:hAnsi="Times New Roman"/>
          <w:b/>
          <w:sz w:val="32"/>
          <w:szCs w:val="32"/>
        </w:rPr>
      </w:pPr>
      <w:r>
        <w:rPr>
          <w:rFonts w:ascii="Times New Roman" w:hAnsi="Times New Roman"/>
          <w:b/>
          <w:sz w:val="32"/>
          <w:szCs w:val="32"/>
        </w:rPr>
        <w:t>на 201</w:t>
      </w:r>
      <w:r w:rsidR="009D6D2E">
        <w:rPr>
          <w:rFonts w:ascii="Times New Roman" w:hAnsi="Times New Roman"/>
          <w:b/>
          <w:sz w:val="32"/>
          <w:szCs w:val="32"/>
        </w:rPr>
        <w:t>8</w:t>
      </w:r>
      <w:r>
        <w:rPr>
          <w:rFonts w:ascii="Times New Roman" w:hAnsi="Times New Roman"/>
          <w:b/>
          <w:sz w:val="32"/>
          <w:szCs w:val="32"/>
        </w:rPr>
        <w:t>-2023</w:t>
      </w:r>
      <w:r w:rsidR="0078477F" w:rsidRPr="004F5A4D">
        <w:rPr>
          <w:rFonts w:ascii="Times New Roman" w:hAnsi="Times New Roman"/>
          <w:b/>
          <w:sz w:val="32"/>
          <w:szCs w:val="32"/>
        </w:rPr>
        <w:t xml:space="preserve"> годы.</w:t>
      </w:r>
    </w:p>
    <w:p w:rsidR="0078477F" w:rsidRPr="007A0ECF" w:rsidRDefault="0078477F" w:rsidP="0078477F">
      <w:pPr>
        <w:jc w:val="center"/>
        <w:rPr>
          <w:rFonts w:ascii="Times New Roman" w:hAnsi="Times New Roman"/>
          <w:b/>
          <w:sz w:val="40"/>
          <w:szCs w:val="40"/>
        </w:rPr>
      </w:pPr>
    </w:p>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0C72F1" w:rsidRDefault="000C72F1" w:rsidP="0078477F"/>
    <w:p w:rsidR="0078477F" w:rsidRPr="007A0ECF" w:rsidRDefault="0078477F" w:rsidP="0078477F">
      <w:pPr>
        <w:jc w:val="center"/>
        <w:rPr>
          <w:rFonts w:ascii="Times New Roman" w:hAnsi="Times New Roman"/>
          <w:u w:val="single"/>
        </w:rPr>
      </w:pPr>
      <w:proofErr w:type="spellStart"/>
      <w:r w:rsidRPr="007A0ECF">
        <w:rPr>
          <w:rFonts w:ascii="Times New Roman" w:hAnsi="Times New Roman"/>
          <w:u w:val="single"/>
        </w:rPr>
        <w:t>___д</w:t>
      </w:r>
      <w:proofErr w:type="spellEnd"/>
      <w:r w:rsidRPr="007A0ECF">
        <w:rPr>
          <w:rFonts w:ascii="Times New Roman" w:hAnsi="Times New Roman"/>
          <w:u w:val="single"/>
        </w:rPr>
        <w:t>. Велеса__</w:t>
      </w:r>
    </w:p>
    <w:p w:rsidR="000C72F1" w:rsidRPr="0026458F" w:rsidRDefault="00860D6E" w:rsidP="0026458F">
      <w:pPr>
        <w:jc w:val="center"/>
        <w:rPr>
          <w:rFonts w:ascii="Times New Roman" w:hAnsi="Times New Roman"/>
        </w:rPr>
      </w:pPr>
      <w:r>
        <w:rPr>
          <w:rFonts w:ascii="Times New Roman" w:hAnsi="Times New Roman"/>
        </w:rPr>
        <w:t>2018</w:t>
      </w:r>
      <w:r w:rsidR="000C72F1">
        <w:rPr>
          <w:rFonts w:ascii="Times New Roman" w:hAnsi="Times New Roman"/>
        </w:rPr>
        <w:t xml:space="preserve"> год</w:t>
      </w:r>
    </w:p>
    <w:p w:rsidR="0033208E" w:rsidRPr="0082480C" w:rsidRDefault="0033208E" w:rsidP="005E4920">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Паспорт</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sidR="0082480C">
        <w:rPr>
          <w:rFonts w:ascii="Times New Roman" w:hAnsi="Times New Roman" w:cs="Times New Roman"/>
        </w:rPr>
        <w:t>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D90E62">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D90E62">
              <w:rPr>
                <w:rFonts w:ascii="Times New Roman" w:hAnsi="Times New Roman"/>
              </w:rPr>
              <w:t>Западнодвинском</w:t>
            </w:r>
            <w:r w:rsidR="00D90E62">
              <w:rPr>
                <w:rFonts w:ascii="Times New Roman" w:hAnsi="Times New Roman" w:cs="Times New Roman"/>
              </w:rPr>
              <w:t xml:space="preserve"> </w:t>
            </w:r>
            <w:r w:rsidR="0082480C">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82480C">
              <w:rPr>
                <w:rFonts w:ascii="Times New Roman" w:hAnsi="Times New Roman" w:cs="Times New Roman"/>
              </w:rPr>
              <w:t>жилищно-коиммунальных</w:t>
            </w:r>
            <w:proofErr w:type="spellEnd"/>
            <w:r w:rsidR="0053565D" w:rsidRPr="0082480C">
              <w:rPr>
                <w:rFonts w:ascii="Times New Roman" w:hAnsi="Times New Roman" w:cs="Times New Roman"/>
              </w:rPr>
              <w:t xml:space="preserve">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sidR="00D90E62">
              <w:rPr>
                <w:rFonts w:ascii="Times New Roman" w:hAnsi="Times New Roman" w:cs="Times New Roman"/>
              </w:rPr>
              <w:t xml:space="preserve"> до 65</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D90E62">
              <w:rPr>
                <w:rFonts w:ascii="Times New Roman" w:hAnsi="Times New Roman" w:cs="Times New Roman"/>
              </w:rPr>
              <w:t>70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F0AB5">
              <w:rPr>
                <w:rFonts w:ascii="Times New Roman" w:hAnsi="Times New Roman"/>
              </w:rPr>
              <w:t>501</w:t>
            </w:r>
            <w:r w:rsidR="00D90E62">
              <w:rPr>
                <w:rFonts w:ascii="Times New Roman" w:hAnsi="Times New Roman"/>
              </w:rPr>
              <w:t>,7</w:t>
            </w:r>
            <w:r w:rsidRPr="005A0EF2">
              <w:rPr>
                <w:rFonts w:ascii="Times New Roman" w:hAnsi="Times New Roman"/>
              </w:rPr>
              <w:t xml:space="preserve"> тыс. руб., в том числе </w:t>
            </w:r>
            <w:r w:rsidR="00FF0AB5">
              <w:rPr>
                <w:rFonts w:ascii="Times New Roman" w:hAnsi="Times New Roman"/>
              </w:rPr>
              <w:t>501</w:t>
            </w:r>
            <w:r w:rsidR="00D90E62">
              <w:rPr>
                <w:rFonts w:ascii="Times New Roman" w:hAnsi="Times New Roman"/>
              </w:rPr>
              <w:t>,7</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в том числе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в том числе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A74C7C">
              <w:rPr>
                <w:rFonts w:ascii="Times New Roman" w:hAnsi="Times New Roman"/>
              </w:rPr>
              <w:t xml:space="preserve"> 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D90E62">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2019 год 368,8</w:t>
            </w:r>
            <w:r w:rsidR="006807C9"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2020 год 414,2</w:t>
            </w:r>
            <w:r w:rsidR="006807C9">
              <w:rPr>
                <w:rFonts w:ascii="Times New Roman" w:hAnsi="Times New Roman"/>
              </w:rPr>
              <w:t>0</w:t>
            </w:r>
            <w:r w:rsidR="006807C9"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74C7C">
              <w:rPr>
                <w:rFonts w:ascii="Times New Roman" w:hAnsi="Times New Roman"/>
              </w:rPr>
              <w:t>401</w:t>
            </w:r>
            <w:r w:rsidR="00D90E62">
              <w:rPr>
                <w:rFonts w:ascii="Times New Roman" w:hAnsi="Times New Roman"/>
              </w:rPr>
              <w:t>,7</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w:t>
            </w:r>
            <w:r w:rsidR="00D90E62">
              <w:rPr>
                <w:rFonts w:ascii="Times New Roman" w:hAnsi="Times New Roman" w:cs="Times New Roman"/>
              </w:rPr>
              <w:t xml:space="preserve"> жилищных условий </w:t>
            </w:r>
            <w:proofErr w:type="gramStart"/>
            <w:r w:rsidR="00D90E62">
              <w:rPr>
                <w:rFonts w:ascii="Times New Roman" w:hAnsi="Times New Roman" w:cs="Times New Roman"/>
              </w:rPr>
              <w:t>населении</w:t>
            </w:r>
            <w:proofErr w:type="gramEnd"/>
            <w:r w:rsidR="00D90E62">
              <w:rPr>
                <w:rFonts w:ascii="Times New Roman" w:hAnsi="Times New Roman" w:cs="Times New Roman"/>
              </w:rPr>
              <w:t xml:space="preserve">  с 30</w:t>
            </w:r>
            <w:r>
              <w:rPr>
                <w:rFonts w:ascii="Times New Roman" w:hAnsi="Times New Roman" w:cs="Times New Roman"/>
              </w:rPr>
              <w:t xml:space="preserve"> </w:t>
            </w:r>
            <w:r w:rsidR="00D90E62">
              <w:rPr>
                <w:rFonts w:ascii="Times New Roman" w:hAnsi="Times New Roman" w:cs="Times New Roman"/>
              </w:rPr>
              <w:t xml:space="preserve">% </w:t>
            </w:r>
            <w:r>
              <w:rPr>
                <w:rFonts w:ascii="Times New Roman" w:hAnsi="Times New Roman" w:cs="Times New Roman"/>
              </w:rPr>
              <w:t>до</w:t>
            </w:r>
            <w:r w:rsidR="00D90E62">
              <w:rPr>
                <w:rFonts w:ascii="Times New Roman" w:hAnsi="Times New Roman" w:cs="Times New Roman"/>
              </w:rPr>
              <w:t xml:space="preserve"> 32</w:t>
            </w:r>
            <w:r>
              <w:rPr>
                <w:rFonts w:ascii="Times New Roman" w:hAnsi="Times New Roman" w:cs="Times New Roman"/>
              </w:rPr>
              <w:t xml:space="preserve">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 xml:space="preserve">бъектах коммунального хозяйства </w:t>
            </w:r>
            <w:proofErr w:type="gramStart"/>
            <w:r>
              <w:rPr>
                <w:rFonts w:ascii="Times New Roman" w:hAnsi="Times New Roman" w:cs="Times New Roman"/>
              </w:rPr>
              <w:t>до</w:t>
            </w:r>
            <w:proofErr w:type="gramEnd"/>
            <w:r>
              <w:rPr>
                <w:rFonts w:ascii="Times New Roman" w:hAnsi="Times New Roman" w:cs="Times New Roman"/>
              </w:rPr>
              <w:t xml:space="preserve">   %</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 xml:space="preserve">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cs="Times New Roman"/>
              </w:rPr>
              <w:t>СанПиНа</w:t>
            </w:r>
            <w:proofErr w:type="spellEnd"/>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в том числе</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368</w:t>
            </w:r>
            <w:r>
              <w:rPr>
                <w:rFonts w:ascii="Times New Roman" w:hAnsi="Times New Roman"/>
              </w:rPr>
              <w:t>,</w:t>
            </w:r>
            <w:r w:rsidR="00D90E62">
              <w:rPr>
                <w:rFonts w:ascii="Times New Roman" w:hAnsi="Times New Roman"/>
              </w:rPr>
              <w:t>8</w:t>
            </w:r>
            <w:r w:rsidRPr="005A0EF2">
              <w:rPr>
                <w:rFonts w:ascii="Times New Roman" w:hAnsi="Times New Roman"/>
              </w:rPr>
              <w:t xml:space="preserve"> тыс. руб., в том числе </w:t>
            </w:r>
            <w:r w:rsidR="00D90E62">
              <w:rPr>
                <w:rFonts w:ascii="Times New Roman" w:hAnsi="Times New Roman"/>
              </w:rPr>
              <w:t>368,8</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в том числе </w:t>
            </w:r>
            <w:r w:rsidR="00D90E62">
              <w:rPr>
                <w:rFonts w:ascii="Times New Roman" w:hAnsi="Times New Roman"/>
              </w:rPr>
              <w:t>414,2</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10</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D90E62">
              <w:rPr>
                <w:rFonts w:ascii="Times New Roman" w:hAnsi="Times New Roman"/>
              </w:rPr>
              <w:t>368,8</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sidR="00D90E62">
              <w:rPr>
                <w:rFonts w:ascii="Times New Roman" w:hAnsi="Times New Roman" w:cs="Times New Roman"/>
              </w:rPr>
              <w:t>поселения до 70</w:t>
            </w:r>
            <w:r>
              <w:rPr>
                <w:rFonts w:ascii="Times New Roman" w:hAnsi="Times New Roman" w:cs="Times New Roman"/>
              </w:rPr>
              <w:t>%</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90E62">
              <w:rPr>
                <w:rFonts w:ascii="Times New Roman" w:hAnsi="Times New Roman"/>
              </w:rPr>
              <w:t>40</w:t>
            </w:r>
            <w:r w:rsidR="00336E96">
              <w:rPr>
                <w:rFonts w:ascii="Times New Roman" w:hAnsi="Times New Roman"/>
              </w:rPr>
              <w:t>1</w:t>
            </w:r>
            <w:r w:rsidR="00D90E62">
              <w:rPr>
                <w:rFonts w:ascii="Times New Roman" w:hAnsi="Times New Roman"/>
              </w:rPr>
              <w:t>,7</w:t>
            </w:r>
            <w:r w:rsidRPr="005A0EF2">
              <w:rPr>
                <w:rFonts w:ascii="Times New Roman" w:hAnsi="Times New Roman"/>
              </w:rPr>
              <w:t xml:space="preserve"> тыс. руб., в том числе </w:t>
            </w:r>
            <w:r w:rsidR="00D90E62">
              <w:rPr>
                <w:rFonts w:ascii="Times New Roman" w:hAnsi="Times New Roman"/>
              </w:rPr>
              <w:t>40</w:t>
            </w:r>
            <w:r w:rsidR="00336E96">
              <w:rPr>
                <w:rFonts w:ascii="Times New Roman" w:hAnsi="Times New Roman"/>
              </w:rPr>
              <w:t>1</w:t>
            </w:r>
            <w:r w:rsidR="00D90E62">
              <w:rPr>
                <w:rFonts w:ascii="Times New Roman" w:hAnsi="Times New Roman"/>
              </w:rPr>
              <w:t>,7</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2022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336E96">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7610D8">
              <w:rPr>
                <w:rFonts w:ascii="Times New Roman" w:hAnsi="Times New Roman"/>
              </w:rPr>
              <w:t>401,7</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7610D8">
              <w:rPr>
                <w:rFonts w:ascii="Times New Roman" w:hAnsi="Times New Roman"/>
              </w:rPr>
              <w:t>409,0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7610D8">
              <w:rPr>
                <w:rFonts w:ascii="Times New Roman" w:hAnsi="Times New Roman"/>
              </w:rPr>
              <w:t>4</w:t>
            </w:r>
            <w:r>
              <w:rPr>
                <w:rFonts w:ascii="Times New Roman" w:hAnsi="Times New Roman"/>
              </w:rPr>
              <w:t>0</w:t>
            </w:r>
            <w:r w:rsidR="00CE531C">
              <w:rPr>
                <w:rFonts w:ascii="Times New Roman" w:hAnsi="Times New Roman"/>
              </w:rPr>
              <w:t>9</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rsidP="00C831D9">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r w:rsidR="00C831D9">
        <w:rPr>
          <w:rFonts w:ascii="Times New Roman" w:hAnsi="Times New Roman" w:cs="Times New Roman"/>
        </w:rPr>
        <w:t xml:space="preserve"> </w:t>
      </w: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420691">
        <w:rPr>
          <w:rFonts w:ascii="Times New Roman" w:hAnsi="Times New Roman" w:cs="Times New Roman"/>
        </w:rPr>
        <w:t>Западнодвинского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82480C">
          <w:rPr>
            <w:rFonts w:ascii="Times New Roman" w:hAnsi="Times New Roman" w:cs="Times New Roman"/>
            <w:color w:val="0000FF"/>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cs="Times New Roman"/>
        </w:rPr>
        <w:t>дств гр</w:t>
      </w:r>
      <w:proofErr w:type="gramEnd"/>
      <w:r w:rsidRPr="0082480C">
        <w:rPr>
          <w:rFonts w:ascii="Times New Roman" w:hAnsi="Times New Roman" w:cs="Times New Roman"/>
        </w:rPr>
        <w:t>аждан - собственников помещений в многоквартирных домах.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6" w:history="1">
        <w:r w:rsidR="0033208E" w:rsidRPr="0082480C">
          <w:rPr>
            <w:rFonts w:ascii="Times New Roman" w:hAnsi="Times New Roman" w:cs="Times New Roman"/>
            <w:color w:val="0000FF"/>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82480C">
        <w:rPr>
          <w:rFonts w:ascii="Times New Roman" w:hAnsi="Times New Roman" w:cs="Times New Roman"/>
        </w:rPr>
        <w:t>благоустройства</w:t>
      </w:r>
      <w:proofErr w:type="gramEnd"/>
      <w:r w:rsidR="0033208E" w:rsidRPr="0082480C">
        <w:rPr>
          <w:rFonts w:ascii="Times New Roman" w:hAnsi="Times New Roman" w:cs="Times New Roman"/>
        </w:rPr>
        <w:t xml:space="preserve">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proofErr w:type="gramStart"/>
      <w:r w:rsidR="00FA0E7E" w:rsidRPr="0082480C">
        <w:rPr>
          <w:rFonts w:ascii="Times New Roman" w:hAnsi="Times New Roman" w:cs="Times New Roman"/>
        </w:rPr>
        <w:t xml:space="preserve">  ;</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82480C">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roofErr w:type="gramStart"/>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C831D9" w:rsidRDefault="00C831D9">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420691">
        <w:rPr>
          <w:rFonts w:ascii="Times New Roman" w:hAnsi="Times New Roman" w:cs="Times New Roman"/>
        </w:rPr>
        <w:t>«</w:t>
      </w:r>
      <w:r w:rsidR="00420691"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420691" w:rsidRPr="0082480C">
        <w:rPr>
          <w:rFonts w:ascii="Times New Roman" w:hAnsi="Times New Roman" w:cs="Times New Roman"/>
        </w:rPr>
        <w:t>жилищно-коиммунальных</w:t>
      </w:r>
      <w:proofErr w:type="spellEnd"/>
      <w:r w:rsidR="00420691" w:rsidRPr="0082480C">
        <w:rPr>
          <w:rFonts w:ascii="Times New Roman" w:hAnsi="Times New Roman" w:cs="Times New Roman"/>
        </w:rPr>
        <w:t xml:space="preserve"> услуг, представляемых населению на территории поселения</w:t>
      </w:r>
      <w:r w:rsidR="00420691">
        <w:rPr>
          <w:rFonts w:ascii="Times New Roman" w:hAnsi="Times New Roman" w:cs="Times New Roman"/>
        </w:rPr>
        <w:t>»</w:t>
      </w:r>
      <w:r w:rsidR="00206DD0">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82480C">
        <w:rPr>
          <w:rFonts w:ascii="Times New Roman" w:hAnsi="Times New Roman" w:cs="Times New Roman"/>
        </w:rPr>
        <w:t xml:space="preserve">мых жилищно-коммунальных услуг </w:t>
      </w:r>
      <w:r w:rsidR="00206DD0">
        <w:rPr>
          <w:rFonts w:ascii="Times New Roman" w:hAnsi="Times New Roman" w:cs="Times New Roman"/>
        </w:rPr>
        <w:t>поселения</w:t>
      </w:r>
      <w:r w:rsidRPr="0082480C">
        <w:rPr>
          <w:rFonts w:ascii="Times New Roman" w:hAnsi="Times New Roman" w:cs="Times New Roman"/>
        </w:rPr>
        <w:t>", являются:</w:t>
      </w:r>
    </w:p>
    <w:p w:rsidR="0033208E" w:rsidRPr="0082480C" w:rsidRDefault="005F5FE1"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Default="00AF453E"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C831D9" w:rsidRPr="0082480C" w:rsidRDefault="00C831D9"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rsidP="00420691">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lastRenderedPageBreak/>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r w:rsidR="00420691">
        <w:rPr>
          <w:rFonts w:ascii="Times New Roman" w:hAnsi="Times New Roman" w:cs="Times New Roman"/>
        </w:rPr>
        <w:t xml:space="preserve">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w:t>
      </w:r>
      <w:proofErr w:type="spellStart"/>
      <w:r w:rsidR="00D466A0" w:rsidRPr="0082480C">
        <w:rPr>
          <w:rFonts w:ascii="Times New Roman" w:hAnsi="Times New Roman" w:cs="Times New Roman"/>
        </w:rPr>
        <w:t>текуший</w:t>
      </w:r>
      <w:proofErr w:type="spellEnd"/>
      <w:r w:rsidR="00D466A0" w:rsidRPr="0082480C">
        <w:rPr>
          <w:rFonts w:ascii="Times New Roman" w:hAnsi="Times New Roman" w:cs="Times New Roman"/>
        </w:rPr>
        <w:t xml:space="preserve">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4</w:t>
      </w:r>
      <w:r w:rsidRPr="0082480C">
        <w:rPr>
          <w:rFonts w:ascii="Times New Roman" w:hAnsi="Times New Roman" w:cs="Times New Roman"/>
        </w:rPr>
        <w:t xml:space="preserve">. Решение задачи 2 «Проведение </w:t>
      </w:r>
      <w:proofErr w:type="spellStart"/>
      <w:r w:rsidRPr="0082480C">
        <w:rPr>
          <w:rFonts w:ascii="Times New Roman" w:hAnsi="Times New Roman" w:cs="Times New Roman"/>
        </w:rPr>
        <w:t>капитальногоремонта</w:t>
      </w:r>
      <w:proofErr w:type="spellEnd"/>
      <w:r w:rsidRPr="0082480C">
        <w:rPr>
          <w:rFonts w:ascii="Times New Roman" w:hAnsi="Times New Roman" w:cs="Times New Roman"/>
        </w:rPr>
        <w:t xml:space="preserve">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w:t>
      </w:r>
      <w:proofErr w:type="spellStart"/>
      <w:r w:rsidR="00785847">
        <w:rPr>
          <w:rFonts w:ascii="Times New Roman" w:hAnsi="Times New Roman" w:cs="Times New Roman"/>
        </w:rPr>
        <w:t>софинансироваю</w:t>
      </w:r>
      <w:proofErr w:type="spellEnd"/>
      <w:r w:rsidRPr="0082480C">
        <w:rPr>
          <w:rFonts w:ascii="Times New Roman" w:hAnsi="Times New Roman" w:cs="Times New Roman"/>
        </w:rPr>
        <w:t>» оценивается следующими показателями:</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 xml:space="preserve">площадь многоквартирных жилых домов, где </w:t>
      </w:r>
      <w:proofErr w:type="spellStart"/>
      <w:r w:rsidR="008B1804" w:rsidRPr="0082480C">
        <w:rPr>
          <w:rFonts w:ascii="Times New Roman" w:hAnsi="Times New Roman" w:cs="Times New Roman"/>
        </w:rPr>
        <w:t>провнден</w:t>
      </w:r>
      <w:proofErr w:type="spellEnd"/>
      <w:r w:rsidR="008B1804" w:rsidRPr="0082480C">
        <w:rPr>
          <w:rFonts w:ascii="Times New Roman" w:hAnsi="Times New Roman" w:cs="Times New Roman"/>
        </w:rPr>
        <w:t xml:space="preserve"> </w:t>
      </w:r>
      <w:proofErr w:type="gramStart"/>
      <w:r w:rsidR="008B1804" w:rsidRPr="0082480C">
        <w:rPr>
          <w:rFonts w:ascii="Times New Roman" w:hAnsi="Times New Roman" w:cs="Times New Roman"/>
        </w:rPr>
        <w:t>капитальный</w:t>
      </w:r>
      <w:proofErr w:type="gramEnd"/>
      <w:r w:rsidR="008B1804" w:rsidRPr="0082480C">
        <w:rPr>
          <w:rFonts w:ascii="Times New Roman" w:hAnsi="Times New Roman" w:cs="Times New Roman"/>
        </w:rPr>
        <w:t xml:space="preserve"> </w:t>
      </w:r>
      <w:proofErr w:type="spellStart"/>
      <w:r w:rsidR="008B1804" w:rsidRPr="0082480C">
        <w:rPr>
          <w:rFonts w:ascii="Times New Roman" w:hAnsi="Times New Roman" w:cs="Times New Roman"/>
        </w:rPr>
        <w:t>ремон</w:t>
      </w:r>
      <w:proofErr w:type="spellEnd"/>
      <w:r w:rsidR="008B1804"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420691">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w:t>
      </w:r>
      <w:proofErr w:type="spellStart"/>
      <w:r w:rsidR="00D91C69" w:rsidRPr="00CA6A23">
        <w:rPr>
          <w:rFonts w:ascii="Times New Roman" w:hAnsi="Times New Roman" w:cs="Times New Roman"/>
        </w:rPr>
        <w:t>находящихмя</w:t>
      </w:r>
      <w:proofErr w:type="spellEnd"/>
      <w:r w:rsidR="00D91C69" w:rsidRPr="00CA6A23">
        <w:rPr>
          <w:rFonts w:ascii="Times New Roman" w:hAnsi="Times New Roman" w:cs="Times New Roman"/>
        </w:rPr>
        <w:t xml:space="preserve">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w:t>
      </w:r>
      <w:proofErr w:type="gramStart"/>
      <w:r w:rsidRPr="00453858">
        <w:rPr>
          <w:rFonts w:ascii="Times New Roman" w:hAnsi="Times New Roman" w:cs="Times New Roman"/>
        </w:rPr>
        <w:t>й(</w:t>
      </w:r>
      <w:proofErr w:type="gramEnd"/>
      <w:r w:rsidRPr="00453858">
        <w:rPr>
          <w:rFonts w:ascii="Times New Roman" w:hAnsi="Times New Roman" w:cs="Times New Roman"/>
        </w:rPr>
        <w:t>косметический)  ремонт.</w:t>
      </w: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420691">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7D0117" w:rsidRDefault="007D0117" w:rsidP="00420691">
      <w:pPr>
        <w:widowControl w:val="0"/>
        <w:autoSpaceDE w:val="0"/>
        <w:autoSpaceDN w:val="0"/>
        <w:adjustRightInd w:val="0"/>
        <w:spacing w:after="0" w:line="240" w:lineRule="auto"/>
        <w:outlineLvl w:val="1"/>
        <w:rPr>
          <w:rFonts w:ascii="Times New Roman" w:hAnsi="Times New Roman" w:cs="Times New Roman"/>
        </w:rPr>
      </w:pP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8845A1" w:rsidRPr="0082480C" w:rsidRDefault="008845A1" w:rsidP="008845A1">
      <w:pPr>
        <w:rPr>
          <w:rFonts w:ascii="Times New Roman" w:hAnsi="Times New Roman"/>
          <w:sz w:val="2"/>
          <w:szCs w:val="2"/>
        </w:rPr>
      </w:pP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w:t>
      </w:r>
      <w:r w:rsidRPr="0082480C">
        <w:rPr>
          <w:rFonts w:ascii="Times New Roman" w:hAnsi="Times New Roman"/>
        </w:rPr>
        <w:lastRenderedPageBreak/>
        <w:t xml:space="preserve">местного бюджета составляет </w:t>
      </w:r>
      <w:r>
        <w:rPr>
          <w:rFonts w:ascii="Times New Roman" w:hAnsi="Times New Roman"/>
        </w:rPr>
        <w:t>10,0</w:t>
      </w:r>
      <w:r w:rsidRPr="0082480C">
        <w:rPr>
          <w:rFonts w:ascii="Times New Roman" w:hAnsi="Times New Roman"/>
        </w:rPr>
        <w:t xml:space="preserve"> тыс. рублей.</w:t>
      </w: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240"/>
        <w:gridCol w:w="850"/>
        <w:gridCol w:w="992"/>
        <w:gridCol w:w="993"/>
        <w:gridCol w:w="850"/>
        <w:gridCol w:w="851"/>
        <w:gridCol w:w="1053"/>
        <w:gridCol w:w="1215"/>
      </w:tblGrid>
      <w:tr w:rsidR="008845A1" w:rsidRPr="00F33C6F" w:rsidTr="00025D8E">
        <w:tc>
          <w:tcPr>
            <w:tcW w:w="738"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2240"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589" w:type="dxa"/>
            <w:gridSpan w:val="6"/>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215" w:type="dxa"/>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25D8E" w:rsidRPr="00F33C6F" w:rsidTr="00025D8E">
        <w:tc>
          <w:tcPr>
            <w:tcW w:w="738"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Borders>
              <w:lef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1053" w:type="dxa"/>
            <w:tcBorders>
              <w:left w:val="single" w:sz="4" w:space="0" w:color="auto"/>
              <w:bottom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15"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r>
      <w:tr w:rsidR="00025D8E" w:rsidRPr="00F33C6F" w:rsidTr="00025D8E">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top w:val="single" w:sz="4" w:space="0" w:color="auto"/>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025D8E" w:rsidRPr="00F33C6F" w:rsidTr="00025D8E">
        <w:trPr>
          <w:trHeight w:val="64"/>
        </w:trPr>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5A1" w:rsidRDefault="008845A1" w:rsidP="00420691">
      <w:pPr>
        <w:widowControl w:val="0"/>
        <w:autoSpaceDE w:val="0"/>
        <w:autoSpaceDN w:val="0"/>
        <w:adjustRightInd w:val="0"/>
        <w:spacing w:after="0" w:line="240" w:lineRule="auto"/>
        <w:outlineLvl w:val="1"/>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rsidP="00C831D9">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r w:rsidR="00C831D9">
        <w:rPr>
          <w:rFonts w:ascii="Times New Roman" w:hAnsi="Times New Roman" w:cs="Times New Roman"/>
        </w:rPr>
        <w:t xml:space="preserve"> </w:t>
      </w:r>
      <w:r w:rsidR="0033208E" w:rsidRPr="0082480C">
        <w:rPr>
          <w:rFonts w:ascii="Times New Roman" w:hAnsi="Times New Roman" w:cs="Times New Roman"/>
        </w:rPr>
        <w:t>функционирования объектов коммунального хозяйства</w:t>
      </w:r>
      <w:r w:rsidR="00C831D9">
        <w:rPr>
          <w:rFonts w:ascii="Times New Roman" w:hAnsi="Times New Roman" w:cs="Times New Roman"/>
        </w:rPr>
        <w:t xml:space="preserve"> </w:t>
      </w:r>
      <w:r w:rsidR="00206DD0">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82480C">
        <w:rPr>
          <w:rFonts w:ascii="Times New Roman" w:hAnsi="Times New Roman" w:cs="Times New Roman"/>
        </w:rPr>
        <w:t>СанПиНа</w:t>
      </w:r>
      <w:proofErr w:type="spellEnd"/>
      <w:r w:rsidR="00733406"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w:t>
      </w:r>
      <w:r w:rsidR="00D91C69" w:rsidRPr="00CA6A23">
        <w:rPr>
          <w:rFonts w:ascii="Times New Roman" w:hAnsi="Times New Roman" w:cs="Times New Roman"/>
        </w:rPr>
        <w:t xml:space="preserve">) мероприятие «Расходы на организацию водоснабжения в сельской </w:t>
      </w:r>
      <w:proofErr w:type="spellStart"/>
      <w:r w:rsidR="00D91C69" w:rsidRPr="00CA6A23">
        <w:rPr>
          <w:rFonts w:ascii="Times New Roman" w:hAnsi="Times New Roman" w:cs="Times New Roman"/>
        </w:rPr>
        <w:t>месности</w:t>
      </w:r>
      <w:proofErr w:type="spellEnd"/>
      <w:r w:rsidR="00D91C69" w:rsidRPr="00CA6A23">
        <w:rPr>
          <w:rFonts w:ascii="Times New Roman" w:hAnsi="Times New Roman" w:cs="Times New Roman"/>
        </w:rPr>
        <w:t xml:space="preserve"> по </w:t>
      </w:r>
      <w:proofErr w:type="spellStart"/>
      <w:r w:rsidR="00D91C69" w:rsidRPr="00CA6A23">
        <w:rPr>
          <w:rFonts w:ascii="Times New Roman" w:hAnsi="Times New Roman" w:cs="Times New Roman"/>
        </w:rPr>
        <w:t>софинансированию</w:t>
      </w:r>
      <w:proofErr w:type="spellEnd"/>
      <w:r w:rsidR="00D91C69" w:rsidRPr="00CA6A23">
        <w:rPr>
          <w:rFonts w:ascii="Times New Roman" w:hAnsi="Times New Roman" w:cs="Times New Roman"/>
        </w:rPr>
        <w:t xml:space="preserve"> – местные</w:t>
      </w:r>
      <w:r w:rsidR="00D91C69">
        <w:rPr>
          <w:rFonts w:ascii="Times New Roman" w:hAnsi="Times New Roman" w:cs="Times New Roman"/>
        </w:rPr>
        <w:t xml:space="preserve"> инициативы»;</w:t>
      </w:r>
      <w:proofErr w:type="gramEnd"/>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1</w:t>
      </w:r>
      <w:r w:rsidR="00D91C69"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D91C69" w:rsidRPr="00CA6A23">
        <w:rPr>
          <w:rFonts w:ascii="Times New Roman" w:hAnsi="Times New Roman" w:cs="Times New Roman"/>
        </w:rPr>
        <w:t>подрпограммы</w:t>
      </w:r>
      <w:proofErr w:type="spellEnd"/>
      <w:r w:rsidR="00D91C69" w:rsidRPr="00CA6A23">
        <w:rPr>
          <w:rFonts w:ascii="Times New Roman" w:hAnsi="Times New Roman" w:cs="Times New Roman"/>
        </w:rPr>
        <w:t xml:space="preserve">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420691">
        <w:rPr>
          <w:rFonts w:ascii="Times New Roman" w:hAnsi="Times New Roman" w:cs="Times New Roman"/>
        </w:rPr>
        <w:t>Зап</w:t>
      </w:r>
      <w:r w:rsidR="00EF1F71">
        <w:rPr>
          <w:rFonts w:ascii="Times New Roman" w:hAnsi="Times New Roman" w:cs="Times New Roman"/>
        </w:rPr>
        <w:t>а</w:t>
      </w:r>
      <w:r w:rsidR="00420691">
        <w:rPr>
          <w:rFonts w:ascii="Times New Roman" w:hAnsi="Times New Roman" w:cs="Times New Roman"/>
        </w:rPr>
        <w:t>днодвинского сельского поселения</w:t>
      </w:r>
      <w:r w:rsidR="00D91C69">
        <w:rPr>
          <w:rFonts w:ascii="Times New Roman" w:hAnsi="Times New Roman" w:cs="Times New Roman"/>
        </w:rPr>
        <w:t xml:space="preserve"> Западнодвинского района Тверской области.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1"/>
        <w:gridCol w:w="821"/>
        <w:gridCol w:w="922"/>
        <w:gridCol w:w="850"/>
        <w:gridCol w:w="851"/>
        <w:gridCol w:w="992"/>
        <w:gridCol w:w="992"/>
        <w:gridCol w:w="1134"/>
      </w:tblGrid>
      <w:tr w:rsidR="00B2392D" w:rsidRPr="00F33C6F" w:rsidTr="00EF1F71">
        <w:tc>
          <w:tcPr>
            <w:tcW w:w="3361"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428"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EF1F71" w:rsidRPr="00F33C6F" w:rsidTr="00EF1F71">
        <w:tc>
          <w:tcPr>
            <w:tcW w:w="3361" w:type="dxa"/>
            <w:vMerge/>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c>
          <w:tcPr>
            <w:tcW w:w="821"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92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г </w:t>
            </w:r>
          </w:p>
        </w:tc>
        <w:tc>
          <w:tcPr>
            <w:tcW w:w="850"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2020 г </w:t>
            </w:r>
          </w:p>
        </w:tc>
        <w:tc>
          <w:tcPr>
            <w:tcW w:w="851"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21 г</w:t>
            </w:r>
          </w:p>
        </w:tc>
        <w:tc>
          <w:tcPr>
            <w:tcW w:w="992"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22 г</w:t>
            </w:r>
          </w:p>
        </w:tc>
        <w:tc>
          <w:tcPr>
            <w:tcW w:w="99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w:t>
            </w:r>
            <w:proofErr w:type="gramStart"/>
            <w:r w:rsidRPr="00F33C6F">
              <w:rPr>
                <w:rFonts w:ascii="Times New Roman" w:hAnsi="Times New Roman"/>
              </w:rPr>
              <w:t>надежности функционирования объектов коммунального хозяйства поселения</w:t>
            </w:r>
            <w:proofErr w:type="gramEnd"/>
          </w:p>
        </w:tc>
        <w:tc>
          <w:tcPr>
            <w:tcW w:w="821"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100,0</w:t>
            </w:r>
          </w:p>
        </w:tc>
        <w:tc>
          <w:tcPr>
            <w:tcW w:w="92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0" w:type="dxa"/>
            <w:vAlign w:val="center"/>
          </w:tcPr>
          <w:p w:rsidR="00943B50" w:rsidRDefault="00943B50" w:rsidP="00EF1F71">
            <w:pPr>
              <w:rPr>
                <w:rFonts w:ascii="Times New Roman" w:hAnsi="Times New Roman"/>
              </w:rPr>
            </w:pPr>
          </w:p>
          <w:p w:rsidR="00EF1F71" w:rsidRPr="00454843" w:rsidRDefault="00943B50" w:rsidP="00EF1F71">
            <w:pPr>
              <w:rPr>
                <w:rFonts w:ascii="Times New Roman" w:hAnsi="Times New Roman"/>
              </w:rPr>
            </w:pPr>
            <w:r>
              <w:rPr>
                <w:rFonts w:ascii="Times New Roman" w:hAnsi="Times New Roman"/>
              </w:rPr>
              <w:t>414,2</w:t>
            </w:r>
          </w:p>
        </w:tc>
        <w:tc>
          <w:tcPr>
            <w:tcW w:w="851" w:type="dxa"/>
            <w:vAlign w:val="center"/>
          </w:tcPr>
          <w:p w:rsidR="00EF1F71" w:rsidRPr="00355FEA"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1134" w:type="dxa"/>
            <w:vAlign w:val="center"/>
          </w:tcPr>
          <w:p w:rsidR="00EF1F71" w:rsidRPr="00F33C6F" w:rsidRDefault="000C72F1" w:rsidP="00EF1F71">
            <w:pPr>
              <w:widowControl w:val="0"/>
              <w:autoSpaceDE w:val="0"/>
              <w:autoSpaceDN w:val="0"/>
              <w:adjustRightInd w:val="0"/>
              <w:spacing w:after="0" w:line="240" w:lineRule="auto"/>
              <w:rPr>
                <w:rFonts w:ascii="Times New Roman" w:hAnsi="Times New Roman"/>
              </w:rPr>
            </w:pPr>
            <w:r>
              <w:rPr>
                <w:rFonts w:ascii="Times New Roman" w:hAnsi="Times New Roman"/>
              </w:rPr>
              <w:t>2125,6</w:t>
            </w: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821" w:type="dxa"/>
            <w:tcBorders>
              <w:right w:val="single" w:sz="4" w:space="0" w:color="auto"/>
            </w:tcBorders>
            <w:vAlign w:val="bottom"/>
          </w:tcPr>
          <w:p w:rsidR="00EF1F71" w:rsidRPr="00F33C6F" w:rsidRDefault="00943B50" w:rsidP="00943B50">
            <w:r>
              <w:t xml:space="preserve">   </w:t>
            </w:r>
            <w:r w:rsidR="00EF1F71">
              <w:t>0,0</w:t>
            </w:r>
          </w:p>
        </w:tc>
        <w:tc>
          <w:tcPr>
            <w:tcW w:w="92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355FEA">
              <w:rPr>
                <w:rFonts w:ascii="Times New Roman" w:hAnsi="Times New Roman"/>
              </w:rPr>
              <w:t>0</w:t>
            </w:r>
          </w:p>
        </w:tc>
        <w:tc>
          <w:tcPr>
            <w:tcW w:w="992" w:type="dxa"/>
            <w:tcBorders>
              <w:righ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F33C6F">
              <w:rPr>
                <w:rFonts w:ascii="Times New Roman" w:hAnsi="Times New Roman"/>
              </w:rPr>
              <w:t>0</w:t>
            </w:r>
          </w:p>
        </w:tc>
        <w:tc>
          <w:tcPr>
            <w:tcW w:w="99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Default="008846D5" w:rsidP="00420691">
      <w:pPr>
        <w:widowControl w:val="0"/>
        <w:autoSpaceDE w:val="0"/>
        <w:autoSpaceDN w:val="0"/>
        <w:adjustRightInd w:val="0"/>
        <w:spacing w:after="0" w:line="240" w:lineRule="auto"/>
        <w:jc w:val="both"/>
        <w:rPr>
          <w:rFonts w:ascii="Times New Roman" w:hAnsi="Times New Roman" w:cs="Times New Roman"/>
        </w:rPr>
      </w:pP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sidR="007C3133">
        <w:rPr>
          <w:rFonts w:ascii="Times New Roman" w:hAnsi="Times New Roman"/>
        </w:rPr>
        <w:t>2125,6</w:t>
      </w:r>
      <w:r w:rsidRPr="0082480C">
        <w:rPr>
          <w:rFonts w:ascii="Times New Roman" w:hAnsi="Times New Roman"/>
        </w:rPr>
        <w:t xml:space="preserve"> тыс. рублей, из них средства местного бюджета </w:t>
      </w:r>
      <w:r>
        <w:rPr>
          <w:rFonts w:ascii="Times New Roman" w:hAnsi="Times New Roman"/>
        </w:rPr>
        <w:t>–</w:t>
      </w:r>
      <w:r w:rsidR="007C3133">
        <w:rPr>
          <w:rFonts w:ascii="Times New Roman" w:hAnsi="Times New Roman"/>
        </w:rPr>
        <w:t>2125,6</w:t>
      </w:r>
      <w:r w:rsidRPr="0082480C">
        <w:rPr>
          <w:rFonts w:ascii="Times New Roman" w:hAnsi="Times New Roman"/>
        </w:rPr>
        <w:t>тыс. руб.</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0"/>
        <w:gridCol w:w="844"/>
        <w:gridCol w:w="897"/>
        <w:gridCol w:w="851"/>
        <w:gridCol w:w="850"/>
        <w:gridCol w:w="992"/>
        <w:gridCol w:w="851"/>
        <w:gridCol w:w="850"/>
      </w:tblGrid>
      <w:tr w:rsidR="00B2392D" w:rsidRPr="00F33C6F" w:rsidTr="000C72F1">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05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285"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0"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C72F1" w:rsidRPr="00F33C6F" w:rsidTr="000C72F1">
        <w:tc>
          <w:tcPr>
            <w:tcW w:w="562"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3050"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844"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897"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20 г</w:t>
            </w:r>
          </w:p>
        </w:tc>
        <w:tc>
          <w:tcPr>
            <w:tcW w:w="850"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850" w:type="dxa"/>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r>
      <w:tr w:rsidR="00852856" w:rsidRPr="00F33C6F" w:rsidTr="00852856">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844"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897"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vAlign w:val="center"/>
          </w:tcPr>
          <w:p w:rsidR="00852856" w:rsidRDefault="00852856" w:rsidP="00852856">
            <w:pPr>
              <w:rPr>
                <w:rFonts w:ascii="Times New Roman" w:hAnsi="Times New Roman"/>
              </w:rPr>
            </w:pPr>
            <w:r>
              <w:rPr>
                <w:rFonts w:ascii="Times New Roman" w:hAnsi="Times New Roman"/>
              </w:rPr>
              <w:t xml:space="preserve"> </w:t>
            </w:r>
          </w:p>
          <w:p w:rsidR="00852856" w:rsidRPr="00454843" w:rsidRDefault="00852856" w:rsidP="00852856">
            <w:pPr>
              <w:rPr>
                <w:rFonts w:ascii="Times New Roman" w:hAnsi="Times New Roman"/>
              </w:rPr>
            </w:pPr>
            <w:r>
              <w:rPr>
                <w:rFonts w:ascii="Times New Roman" w:hAnsi="Times New Roman"/>
              </w:rPr>
              <w:t>414,2</w:t>
            </w:r>
          </w:p>
        </w:tc>
        <w:tc>
          <w:tcPr>
            <w:tcW w:w="850" w:type="dxa"/>
            <w:vAlign w:val="center"/>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2125,6</w:t>
            </w:r>
          </w:p>
        </w:tc>
      </w:tr>
      <w:tr w:rsidR="00852856" w:rsidRPr="00F33C6F" w:rsidTr="00852856">
        <w:trPr>
          <w:trHeight w:val="294"/>
        </w:trPr>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44"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897"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tcPr>
          <w:p w:rsidR="00852856" w:rsidRPr="00454843" w:rsidRDefault="00852856" w:rsidP="00852856">
            <w:pPr>
              <w:jc w:val="center"/>
              <w:rPr>
                <w:rFonts w:ascii="Times New Roman" w:hAnsi="Times New Roman"/>
              </w:rPr>
            </w:pPr>
            <w:r>
              <w:rPr>
                <w:rFonts w:ascii="Times New Roman" w:hAnsi="Times New Roman"/>
              </w:rPr>
              <w:t>414,2</w:t>
            </w:r>
          </w:p>
        </w:tc>
        <w:tc>
          <w:tcPr>
            <w:tcW w:w="850" w:type="dxa"/>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2125,6</w:t>
            </w:r>
          </w:p>
        </w:tc>
      </w:tr>
    </w:tbl>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w:t>
      </w:r>
      <w:r w:rsidR="0033208E" w:rsidRPr="0082480C">
        <w:rPr>
          <w:rFonts w:ascii="Times New Roman" w:hAnsi="Times New Roman" w:cs="Times New Roman"/>
        </w:rPr>
        <w:lastRenderedPageBreak/>
        <w:t xml:space="preserve">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82480C"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420691" w:rsidP="00420691">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w:t>
      </w:r>
      <w:proofErr w:type="spellStart"/>
      <w:r w:rsidRPr="00CA6A23">
        <w:rPr>
          <w:rFonts w:ascii="Times New Roman" w:hAnsi="Times New Roman" w:cs="Times New Roman"/>
        </w:rPr>
        <w:t>меропиятие</w:t>
      </w:r>
      <w:proofErr w:type="spellEnd"/>
      <w:r w:rsidRPr="00CA6A23">
        <w:rPr>
          <w:rFonts w:ascii="Times New Roman" w:hAnsi="Times New Roman" w:cs="Times New Roman"/>
        </w:rPr>
        <w:t xml:space="preserve">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CA6A23"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Default="00D91C69" w:rsidP="00B2392D">
      <w:pPr>
        <w:pStyle w:val="a3"/>
        <w:rPr>
          <w:rFonts w:ascii="Times New Roman" w:hAnsi="Times New Roman"/>
        </w:rPr>
      </w:pPr>
      <w:r w:rsidRPr="00CA6A23">
        <w:rPr>
          <w:rFonts w:ascii="Times New Roman" w:hAnsi="Times New Roman"/>
        </w:rPr>
        <w:t xml:space="preserve">         </w:t>
      </w:r>
      <w:r w:rsidR="00B2392D"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B2392D" w:rsidRPr="00CA6A23">
          <w:rPr>
            <w:rFonts w:ascii="Times New Roman" w:hAnsi="Times New Roman"/>
            <w:color w:val="0000FF"/>
          </w:rPr>
          <w:t>таблице 5</w:t>
        </w:r>
      </w:hyperlink>
      <w:r w:rsidR="00B2392D" w:rsidRPr="00CA6A23">
        <w:rPr>
          <w:rFonts w:ascii="Times New Roman" w:hAnsi="Times New Roman"/>
        </w:rPr>
        <w:t xml:space="preserve"> к настоящей муниципальной программе.</w:t>
      </w:r>
    </w:p>
    <w:p w:rsidR="00B2392D" w:rsidRPr="0082480C" w:rsidRDefault="00B2392D" w:rsidP="00B2392D">
      <w:pPr>
        <w:pStyle w:val="a3"/>
        <w:jc w:val="right"/>
        <w:rPr>
          <w:rFonts w:ascii="Times New Roman" w:hAnsi="Times New Roman"/>
        </w:rPr>
      </w:pPr>
      <w:r w:rsidRPr="0082480C">
        <w:rPr>
          <w:rFonts w:ascii="Times New Roman" w:hAnsi="Times New Roman"/>
        </w:rPr>
        <w:t>Таблица 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75"/>
        <w:gridCol w:w="936"/>
        <w:gridCol w:w="851"/>
        <w:gridCol w:w="992"/>
        <w:gridCol w:w="851"/>
        <w:gridCol w:w="850"/>
        <w:gridCol w:w="851"/>
        <w:gridCol w:w="1134"/>
      </w:tblGrid>
      <w:tr w:rsidR="00B2392D" w:rsidRPr="00F33C6F" w:rsidTr="004E129B">
        <w:tc>
          <w:tcPr>
            <w:tcW w:w="3175"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331"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4E129B" w:rsidRPr="00F33C6F" w:rsidTr="004E129B">
        <w:tc>
          <w:tcPr>
            <w:tcW w:w="3175" w:type="dxa"/>
            <w:vMerge/>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c>
          <w:tcPr>
            <w:tcW w:w="93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9 г</w:t>
            </w:r>
          </w:p>
        </w:tc>
        <w:tc>
          <w:tcPr>
            <w:tcW w:w="992"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righ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bottom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936"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tcBorders>
              <w:top w:val="single" w:sz="4" w:space="0" w:color="auto"/>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34"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936" w:type="dxa"/>
            <w:tcBorders>
              <w:right w:val="single" w:sz="4" w:space="0" w:color="auto"/>
            </w:tcBorders>
            <w:vAlign w:val="center"/>
          </w:tcPr>
          <w:p w:rsidR="004E129B" w:rsidRPr="004E129B" w:rsidRDefault="004E129B" w:rsidP="004E129B">
            <w:pPr>
              <w:jc w:val="center"/>
            </w:pPr>
            <w: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B2392D" w:rsidRPr="0082480C" w:rsidRDefault="00B2392D" w:rsidP="00B2392D">
      <w:pPr>
        <w:pStyle w:val="a3"/>
        <w:rPr>
          <w:rFonts w:ascii="Times New Roman" w:hAnsi="Times New Roman"/>
        </w:rPr>
      </w:pP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3814,24</w:t>
      </w:r>
      <w:r w:rsidRPr="0082480C">
        <w:rPr>
          <w:rFonts w:ascii="Times New Roman" w:hAnsi="Times New Roman"/>
        </w:rPr>
        <w:t xml:space="preserve"> тыс. руб.</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70"/>
        <w:gridCol w:w="896"/>
        <w:gridCol w:w="856"/>
        <w:gridCol w:w="808"/>
        <w:gridCol w:w="887"/>
        <w:gridCol w:w="992"/>
        <w:gridCol w:w="897"/>
        <w:gridCol w:w="1088"/>
      </w:tblGrid>
      <w:tr w:rsidR="004E129B" w:rsidRPr="00F33C6F" w:rsidTr="004E129B">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37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336"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88"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4E129B" w:rsidRPr="00F33C6F" w:rsidTr="004E129B">
        <w:tc>
          <w:tcPr>
            <w:tcW w:w="562"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89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6"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08"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87"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97"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88"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370" w:type="dxa"/>
          </w:tcPr>
          <w:p w:rsidR="004E129B" w:rsidRPr="004E129B" w:rsidRDefault="004E129B" w:rsidP="00EF1F71">
            <w:pPr>
              <w:widowControl w:val="0"/>
              <w:autoSpaceDE w:val="0"/>
              <w:autoSpaceDN w:val="0"/>
              <w:adjustRightInd w:val="0"/>
              <w:spacing w:after="0" w:line="240" w:lineRule="auto"/>
              <w:jc w:val="both"/>
              <w:rPr>
                <w:rFonts w:ascii="Times New Roman" w:hAnsi="Times New Roman"/>
              </w:rPr>
            </w:pPr>
            <w:r w:rsidRPr="004E129B">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896"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6"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96"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401,7</w:t>
            </w:r>
          </w:p>
        </w:tc>
        <w:tc>
          <w:tcPr>
            <w:tcW w:w="856"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4E129B" w:rsidP="00F82B6F">
            <w:pPr>
              <w:widowControl w:val="0"/>
              <w:autoSpaceDE w:val="0"/>
              <w:autoSpaceDN w:val="0"/>
              <w:adjustRightInd w:val="0"/>
              <w:spacing w:after="0" w:line="240" w:lineRule="auto"/>
              <w:jc w:val="center"/>
              <w:rPr>
                <w:rFonts w:ascii="Times New Roman" w:hAnsi="Times New Roman"/>
              </w:rPr>
            </w:pPr>
            <w:r>
              <w:rPr>
                <w:rFonts w:ascii="Times New Roman" w:hAnsi="Times New Roman"/>
              </w:rPr>
              <w:t>2446,7</w:t>
            </w:r>
          </w:p>
        </w:tc>
      </w:tr>
    </w:tbl>
    <w:p w:rsidR="0033208E" w:rsidRDefault="0033208E" w:rsidP="00420691">
      <w:pPr>
        <w:pStyle w:val="a3"/>
        <w:rPr>
          <w:rFonts w:ascii="Times New Roman" w:hAnsi="Times New Roman"/>
        </w:rPr>
      </w:pPr>
    </w:p>
    <w:p w:rsidR="00B2392D" w:rsidRDefault="00B2392D" w:rsidP="00420691">
      <w:pPr>
        <w:pStyle w:val="a3"/>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r w:rsidR="00420691">
        <w:rPr>
          <w:rFonts w:ascii="Times New Roman" w:hAnsi="Times New Roman"/>
        </w:rPr>
        <w:t xml:space="preserve">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420691" w:rsidRDefault="00420691" w:rsidP="00420691">
      <w:pPr>
        <w:widowControl w:val="0"/>
        <w:tabs>
          <w:tab w:val="left" w:pos="567"/>
        </w:tabs>
        <w:autoSpaceDE w:val="0"/>
        <w:autoSpaceDN w:val="0"/>
        <w:adjustRightInd w:val="0"/>
        <w:spacing w:after="0" w:line="240" w:lineRule="auto"/>
        <w:jc w:val="both"/>
        <w:rPr>
          <w:rFonts w:ascii="Times New Roman" w:hAnsi="Times New Roman"/>
        </w:rPr>
      </w:pPr>
    </w:p>
    <w:p w:rsidR="00BD69F6" w:rsidRPr="00655E8C" w:rsidRDefault="00420691"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420691"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831D9"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420691">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4</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б) согласованность действий ответственных исполнителей администратора муниципальной программы;</w:t>
      </w:r>
    </w:p>
    <w:p w:rsidR="00C831D9"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5</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36</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другие источники.</w:t>
      </w:r>
    </w:p>
    <w:p w:rsidR="00BD69F6" w:rsidRPr="00655E8C" w:rsidRDefault="00C831D9"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420691">
        <w:rPr>
          <w:rFonts w:ascii="Times New Roman" w:hAnsi="Times New Roman"/>
        </w:rPr>
        <w:t>37</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38</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39</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1</w:t>
      </w:r>
      <w:r w:rsidR="00BD69F6" w:rsidRPr="00655E8C">
        <w:rPr>
          <w:rFonts w:ascii="Times New Roman" w:hAnsi="Times New Roman"/>
        </w:rPr>
        <w:t xml:space="preserve">.  </w:t>
      </w:r>
      <w:proofErr w:type="gramStart"/>
      <w:r w:rsidR="00BD69F6"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2</w:t>
      </w:r>
      <w:r w:rsidR="00BD69F6" w:rsidRPr="00655E8C">
        <w:rPr>
          <w:rFonts w:ascii="Times New Roman" w:hAnsi="Times New Roman"/>
        </w:rPr>
        <w:t xml:space="preserve">. </w:t>
      </w:r>
      <w:proofErr w:type="gramStart"/>
      <w:r w:rsidR="00BD69F6"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420691">
        <w:rPr>
          <w:rFonts w:ascii="Times New Roman" w:hAnsi="Times New Roman"/>
        </w:rPr>
        <w:t>Западнодвинского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r w:rsidR="00420691">
        <w:rPr>
          <w:rFonts w:ascii="Times New Roman" w:hAnsi="Times New Roman"/>
        </w:rPr>
        <w:t xml:space="preserve"> </w:t>
      </w: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r w:rsidR="00420691">
        <w:rPr>
          <w:rFonts w:ascii="Times New Roman" w:hAnsi="Times New Roman"/>
        </w:rPr>
        <w:t xml:space="preserve"> </w:t>
      </w:r>
      <w:r w:rsidRPr="00655E8C">
        <w:rPr>
          <w:rFonts w:ascii="Times New Roman" w:hAnsi="Times New Roman"/>
        </w:rPr>
        <w:t xml:space="preserve">с общественными объединениями, в том числе с </w:t>
      </w:r>
      <w:proofErr w:type="spellStart"/>
      <w:r w:rsidRPr="00655E8C">
        <w:rPr>
          <w:rFonts w:ascii="Times New Roman" w:hAnsi="Times New Roman"/>
        </w:rPr>
        <w:t>социальноориентированными</w:t>
      </w:r>
      <w:proofErr w:type="spellEnd"/>
      <w:r w:rsidRPr="00655E8C">
        <w:rPr>
          <w:rFonts w:ascii="Times New Roman" w:hAnsi="Times New Roman"/>
        </w:rPr>
        <w:t xml:space="preserve"> некоммерческ</w:t>
      </w:r>
      <w:r w:rsidR="00420691">
        <w:rPr>
          <w:rFonts w:ascii="Times New Roman" w:hAnsi="Times New Roman"/>
        </w:rPr>
        <w:t xml:space="preserve">ими организациями при реализации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3</w:t>
      </w:r>
      <w:r w:rsidR="00BD69F6" w:rsidRPr="00655E8C">
        <w:rPr>
          <w:rFonts w:ascii="Times New Roman" w:hAnsi="Times New Roman"/>
        </w:rPr>
        <w:t xml:space="preserve">.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w:t>
      </w:r>
      <w:r w:rsidR="00BD69F6" w:rsidRPr="00655E8C">
        <w:rPr>
          <w:rFonts w:ascii="Times New Roman" w:hAnsi="Times New Roman"/>
        </w:rPr>
        <w:lastRenderedPageBreak/>
        <w:t>объединениями, в том числе с социально ориентированными некоммерческими организациями по вопросам:</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420691">
        <w:rPr>
          <w:rFonts w:ascii="Times New Roman" w:hAnsi="Times New Roman"/>
        </w:rPr>
        <w:t>Западнодвинского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rsidP="00420691">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38FD"/>
    <w:rsid w:val="00016790"/>
    <w:rsid w:val="00025D8E"/>
    <w:rsid w:val="00033CC7"/>
    <w:rsid w:val="00054AD8"/>
    <w:rsid w:val="00063E30"/>
    <w:rsid w:val="00064BCD"/>
    <w:rsid w:val="0007212A"/>
    <w:rsid w:val="00080767"/>
    <w:rsid w:val="000C0A1A"/>
    <w:rsid w:val="000C72F1"/>
    <w:rsid w:val="000D1427"/>
    <w:rsid w:val="000E5BAB"/>
    <w:rsid w:val="000F1B3E"/>
    <w:rsid w:val="00112E05"/>
    <w:rsid w:val="0012308E"/>
    <w:rsid w:val="00125A52"/>
    <w:rsid w:val="001277D7"/>
    <w:rsid w:val="0014570D"/>
    <w:rsid w:val="0016100C"/>
    <w:rsid w:val="001669A9"/>
    <w:rsid w:val="00196EC6"/>
    <w:rsid w:val="001A0B2B"/>
    <w:rsid w:val="001B7374"/>
    <w:rsid w:val="001D4056"/>
    <w:rsid w:val="001E6D82"/>
    <w:rsid w:val="00206DD0"/>
    <w:rsid w:val="00221B1B"/>
    <w:rsid w:val="00236D72"/>
    <w:rsid w:val="00256007"/>
    <w:rsid w:val="0026458F"/>
    <w:rsid w:val="00266DA5"/>
    <w:rsid w:val="002905FD"/>
    <w:rsid w:val="00291821"/>
    <w:rsid w:val="002A545D"/>
    <w:rsid w:val="002D10AA"/>
    <w:rsid w:val="003041D2"/>
    <w:rsid w:val="00304B2D"/>
    <w:rsid w:val="0030711B"/>
    <w:rsid w:val="003140C1"/>
    <w:rsid w:val="003216FB"/>
    <w:rsid w:val="00326218"/>
    <w:rsid w:val="0033208E"/>
    <w:rsid w:val="00336E96"/>
    <w:rsid w:val="00370D5B"/>
    <w:rsid w:val="00386178"/>
    <w:rsid w:val="003A5B7F"/>
    <w:rsid w:val="003A7A33"/>
    <w:rsid w:val="003B11EF"/>
    <w:rsid w:val="003C2ACD"/>
    <w:rsid w:val="003D37A9"/>
    <w:rsid w:val="003D660F"/>
    <w:rsid w:val="00417A18"/>
    <w:rsid w:val="00420691"/>
    <w:rsid w:val="0043253B"/>
    <w:rsid w:val="00445591"/>
    <w:rsid w:val="0047001D"/>
    <w:rsid w:val="0049781D"/>
    <w:rsid w:val="004A6178"/>
    <w:rsid w:val="004B766D"/>
    <w:rsid w:val="004C20E5"/>
    <w:rsid w:val="004E129B"/>
    <w:rsid w:val="004E3C14"/>
    <w:rsid w:val="004F5A4D"/>
    <w:rsid w:val="005115B3"/>
    <w:rsid w:val="0051599D"/>
    <w:rsid w:val="0052364B"/>
    <w:rsid w:val="0053565D"/>
    <w:rsid w:val="00554A08"/>
    <w:rsid w:val="00556A7D"/>
    <w:rsid w:val="0058083B"/>
    <w:rsid w:val="005910AD"/>
    <w:rsid w:val="005A08CA"/>
    <w:rsid w:val="005A20FA"/>
    <w:rsid w:val="005B242A"/>
    <w:rsid w:val="005C0328"/>
    <w:rsid w:val="005E4920"/>
    <w:rsid w:val="005F5FE1"/>
    <w:rsid w:val="005F6AE8"/>
    <w:rsid w:val="00615F4B"/>
    <w:rsid w:val="0061636F"/>
    <w:rsid w:val="00622FB6"/>
    <w:rsid w:val="006348E2"/>
    <w:rsid w:val="00637274"/>
    <w:rsid w:val="0064556C"/>
    <w:rsid w:val="006807C9"/>
    <w:rsid w:val="00685206"/>
    <w:rsid w:val="0068521D"/>
    <w:rsid w:val="006D6610"/>
    <w:rsid w:val="006D7ABF"/>
    <w:rsid w:val="00700A0E"/>
    <w:rsid w:val="00712DA7"/>
    <w:rsid w:val="00730E71"/>
    <w:rsid w:val="00733406"/>
    <w:rsid w:val="00746B4C"/>
    <w:rsid w:val="00750F25"/>
    <w:rsid w:val="007549AC"/>
    <w:rsid w:val="007610D8"/>
    <w:rsid w:val="00761433"/>
    <w:rsid w:val="00770021"/>
    <w:rsid w:val="00772E9C"/>
    <w:rsid w:val="0078477F"/>
    <w:rsid w:val="00785847"/>
    <w:rsid w:val="0079550E"/>
    <w:rsid w:val="007A0ECF"/>
    <w:rsid w:val="007A20CF"/>
    <w:rsid w:val="007B18BF"/>
    <w:rsid w:val="007C3133"/>
    <w:rsid w:val="007D0117"/>
    <w:rsid w:val="0080492B"/>
    <w:rsid w:val="00806808"/>
    <w:rsid w:val="00810510"/>
    <w:rsid w:val="0081264E"/>
    <w:rsid w:val="0082480C"/>
    <w:rsid w:val="00833731"/>
    <w:rsid w:val="008343F9"/>
    <w:rsid w:val="00841E5C"/>
    <w:rsid w:val="00842420"/>
    <w:rsid w:val="00852856"/>
    <w:rsid w:val="00860D6E"/>
    <w:rsid w:val="00883563"/>
    <w:rsid w:val="008845A1"/>
    <w:rsid w:val="008846D5"/>
    <w:rsid w:val="0088746C"/>
    <w:rsid w:val="008939D5"/>
    <w:rsid w:val="0089575C"/>
    <w:rsid w:val="008A1CFD"/>
    <w:rsid w:val="008B1804"/>
    <w:rsid w:val="008B68F9"/>
    <w:rsid w:val="008C27B3"/>
    <w:rsid w:val="008D516C"/>
    <w:rsid w:val="0090664B"/>
    <w:rsid w:val="00914320"/>
    <w:rsid w:val="00941714"/>
    <w:rsid w:val="00943B50"/>
    <w:rsid w:val="00945707"/>
    <w:rsid w:val="009563A5"/>
    <w:rsid w:val="009862F3"/>
    <w:rsid w:val="009B5009"/>
    <w:rsid w:val="009B5B40"/>
    <w:rsid w:val="009B7FD8"/>
    <w:rsid w:val="009C18FF"/>
    <w:rsid w:val="009C54AD"/>
    <w:rsid w:val="009D6D2E"/>
    <w:rsid w:val="009F768E"/>
    <w:rsid w:val="00A02F88"/>
    <w:rsid w:val="00A15F7C"/>
    <w:rsid w:val="00A349C2"/>
    <w:rsid w:val="00A74C7C"/>
    <w:rsid w:val="00AC4A78"/>
    <w:rsid w:val="00AD137D"/>
    <w:rsid w:val="00AF2794"/>
    <w:rsid w:val="00AF453E"/>
    <w:rsid w:val="00AF5D99"/>
    <w:rsid w:val="00B02716"/>
    <w:rsid w:val="00B13868"/>
    <w:rsid w:val="00B22102"/>
    <w:rsid w:val="00B2392D"/>
    <w:rsid w:val="00B34F2B"/>
    <w:rsid w:val="00B629EB"/>
    <w:rsid w:val="00B74385"/>
    <w:rsid w:val="00B906E2"/>
    <w:rsid w:val="00BD69F6"/>
    <w:rsid w:val="00BF27B9"/>
    <w:rsid w:val="00BF5077"/>
    <w:rsid w:val="00C45DF6"/>
    <w:rsid w:val="00C51041"/>
    <w:rsid w:val="00C5415A"/>
    <w:rsid w:val="00C77875"/>
    <w:rsid w:val="00C8229B"/>
    <w:rsid w:val="00C831D9"/>
    <w:rsid w:val="00C93E44"/>
    <w:rsid w:val="00CB5B04"/>
    <w:rsid w:val="00CE531C"/>
    <w:rsid w:val="00CE5F04"/>
    <w:rsid w:val="00D4010C"/>
    <w:rsid w:val="00D466A0"/>
    <w:rsid w:val="00D4785E"/>
    <w:rsid w:val="00D56FE6"/>
    <w:rsid w:val="00D77AEE"/>
    <w:rsid w:val="00D842F2"/>
    <w:rsid w:val="00D90E62"/>
    <w:rsid w:val="00D91C69"/>
    <w:rsid w:val="00DF7318"/>
    <w:rsid w:val="00E03F87"/>
    <w:rsid w:val="00E0403A"/>
    <w:rsid w:val="00E30291"/>
    <w:rsid w:val="00E33C2E"/>
    <w:rsid w:val="00E537F7"/>
    <w:rsid w:val="00E6129C"/>
    <w:rsid w:val="00E70781"/>
    <w:rsid w:val="00E9503E"/>
    <w:rsid w:val="00EA0DA2"/>
    <w:rsid w:val="00EB0B62"/>
    <w:rsid w:val="00EB0DE8"/>
    <w:rsid w:val="00ED2D3E"/>
    <w:rsid w:val="00EF10D9"/>
    <w:rsid w:val="00EF1F71"/>
    <w:rsid w:val="00F10415"/>
    <w:rsid w:val="00F26440"/>
    <w:rsid w:val="00F51517"/>
    <w:rsid w:val="00F61A49"/>
    <w:rsid w:val="00F64726"/>
    <w:rsid w:val="00F6506F"/>
    <w:rsid w:val="00F668C2"/>
    <w:rsid w:val="00FA0E7E"/>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5A8-E3C3-4571-A703-C5EDAD8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15</Pages>
  <Words>5010</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149</cp:revision>
  <cp:lastPrinted>2018-04-27T06:18:00Z</cp:lastPrinted>
  <dcterms:created xsi:type="dcterms:W3CDTF">2014-09-04T10:59:00Z</dcterms:created>
  <dcterms:modified xsi:type="dcterms:W3CDTF">2018-06-15T06:59:00Z</dcterms:modified>
</cp:coreProperties>
</file>